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637" w:type="dxa"/>
        <w:tblInd w:w="-998" w:type="dxa"/>
        <w:tblLayout w:type="fixed"/>
        <w:tblLook w:val="04A0" w:firstRow="1" w:lastRow="0" w:firstColumn="1" w:lastColumn="0" w:noHBand="0" w:noVBand="1"/>
      </w:tblPr>
      <w:tblGrid>
        <w:gridCol w:w="1702"/>
        <w:gridCol w:w="8935"/>
      </w:tblGrid>
      <w:tr w:rsidR="001C613C" w:rsidRPr="00C9373B" w:rsidTr="000560B5">
        <w:trPr>
          <w:trHeight w:val="457"/>
        </w:trPr>
        <w:tc>
          <w:tcPr>
            <w:tcW w:w="10637" w:type="dxa"/>
            <w:gridSpan w:val="2"/>
          </w:tcPr>
          <w:p w:rsidR="001C613C" w:rsidRPr="00BF4867" w:rsidRDefault="00735EBB" w:rsidP="00D63DF9">
            <w:pPr>
              <w:spacing w:after="0"/>
              <w:ind w:left="709" w:right="481"/>
              <w:jc w:val="center"/>
              <w:rPr>
                <w:rFonts w:asciiTheme="minorHAnsi" w:hAnsiTheme="minorHAnsi" w:cstheme="minorHAnsi"/>
                <w:color w:val="2F5496" w:themeColor="accent5" w:themeShade="BF"/>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2F5496" w:themeColor="accent5" w:themeShade="BF"/>
                <w:sz w:val="32"/>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AGENCIA ESTATAL DE INVESTIGACION </w:t>
            </w:r>
          </w:p>
        </w:tc>
      </w:tr>
      <w:tr w:rsidR="008B7F87" w:rsidRPr="00BF4867" w:rsidTr="00AB6001">
        <w:trPr>
          <w:trHeight w:val="427"/>
        </w:trPr>
        <w:tc>
          <w:tcPr>
            <w:tcW w:w="10637" w:type="dxa"/>
            <w:gridSpan w:val="2"/>
            <w:shd w:val="clear" w:color="auto" w:fill="1F3864" w:themeFill="accent5" w:themeFillShade="80"/>
          </w:tcPr>
          <w:p w:rsidR="008B7F87" w:rsidRPr="00D63DF9" w:rsidRDefault="00392320" w:rsidP="000050B4">
            <w:pPr>
              <w:autoSpaceDE w:val="0"/>
              <w:autoSpaceDN w:val="0"/>
              <w:adjustRightInd w:val="0"/>
              <w:spacing w:after="0" w:line="240" w:lineRule="auto"/>
              <w:jc w:val="center"/>
              <w:rPr>
                <w:b/>
                <w:color w:val="FFFFFF" w:themeColor="background1"/>
                <w:sz w:val="28"/>
              </w:rPr>
            </w:pPr>
            <w:r>
              <w:rPr>
                <w:b/>
                <w:color w:val="FFFFFF" w:themeColor="background1"/>
                <w:sz w:val="28"/>
              </w:rPr>
              <w:t xml:space="preserve">RAMON Y CAJAL </w:t>
            </w:r>
            <w:r w:rsidR="00900A6B" w:rsidRPr="00900A6B">
              <w:rPr>
                <w:b/>
                <w:color w:val="FFFFFF" w:themeColor="background1"/>
                <w:sz w:val="28"/>
              </w:rPr>
              <w:t xml:space="preserve"> 2021</w:t>
            </w:r>
          </w:p>
        </w:tc>
      </w:tr>
      <w:tr w:rsidR="001C613C" w:rsidRPr="00A35E91" w:rsidTr="00AB6001">
        <w:tc>
          <w:tcPr>
            <w:tcW w:w="1702" w:type="dxa"/>
            <w:tcBorders>
              <w:bottom w:val="single" w:sz="4" w:space="0" w:color="auto"/>
            </w:tcBorders>
          </w:tcPr>
          <w:p w:rsidR="001C613C" w:rsidRPr="00933AEA" w:rsidRDefault="00575F67">
            <w:pPr>
              <w:rPr>
                <w:rFonts w:asciiTheme="minorHAnsi" w:hAnsiTheme="minorHAnsi" w:cstheme="minorHAnsi"/>
              </w:rPr>
            </w:pPr>
            <w:r>
              <w:rPr>
                <w:b/>
                <w:color w:val="1F3864" w:themeColor="accent5" w:themeShade="80"/>
              </w:rPr>
              <w:t xml:space="preserve">Objetivo </w:t>
            </w:r>
          </w:p>
        </w:tc>
        <w:tc>
          <w:tcPr>
            <w:tcW w:w="8935" w:type="dxa"/>
          </w:tcPr>
          <w:p w:rsidR="002005C0" w:rsidRDefault="00D72853" w:rsidP="00D72853">
            <w:pPr>
              <w:autoSpaceDE w:val="0"/>
              <w:autoSpaceDN w:val="0"/>
              <w:adjustRightInd w:val="0"/>
              <w:spacing w:after="0" w:line="240" w:lineRule="auto"/>
            </w:pPr>
            <w:r w:rsidRPr="00D72853">
              <w:t>Convocatoria de 647 ayudas con la finalidad promover la incorporación de personal investigador, españ</w:t>
            </w:r>
            <w:r w:rsidRPr="00D72853">
              <w:t xml:space="preserve">ol y </w:t>
            </w:r>
            <w:r w:rsidRPr="00D72853">
              <w:t xml:space="preserve">extranjero, con una trayectoria destacada, en centros de I+D españoles, </w:t>
            </w:r>
            <w:r w:rsidRPr="00D72853">
              <w:t xml:space="preserve">con el fin de que adquieran las </w:t>
            </w:r>
            <w:r w:rsidRPr="00D72853">
              <w:t>competencias y capacidades que les permitan obtener un puesto de cará</w:t>
            </w:r>
            <w:r w:rsidRPr="00D72853">
              <w:t xml:space="preserve">cter estable en un organismo de </w:t>
            </w:r>
            <w:r w:rsidRPr="00D72853">
              <w:t>investigación del Sistema Español de Ciencia, Tecnología y de Innovación.</w:t>
            </w:r>
          </w:p>
          <w:p w:rsidR="00D72853" w:rsidRPr="00D72853" w:rsidRDefault="00D72853" w:rsidP="00D72853">
            <w:pPr>
              <w:autoSpaceDE w:val="0"/>
              <w:autoSpaceDN w:val="0"/>
              <w:adjustRightInd w:val="0"/>
              <w:spacing w:after="0" w:line="240" w:lineRule="auto"/>
              <w:jc w:val="both"/>
            </w:pPr>
            <w:r w:rsidRPr="00D72853">
              <w:t>La duración de las ayudas, que será de cinco años, estará dividida en dos fases:</w:t>
            </w:r>
          </w:p>
          <w:p w:rsidR="00D72853" w:rsidRPr="00D72853" w:rsidRDefault="00D72853" w:rsidP="00D72853">
            <w:pPr>
              <w:pStyle w:val="Prrafodelista"/>
              <w:numPr>
                <w:ilvl w:val="0"/>
                <w:numId w:val="23"/>
              </w:numPr>
              <w:autoSpaceDE w:val="0"/>
              <w:autoSpaceDN w:val="0"/>
              <w:adjustRightInd w:val="0"/>
              <w:spacing w:after="0" w:line="240" w:lineRule="auto"/>
              <w:jc w:val="both"/>
            </w:pPr>
            <w:r w:rsidRPr="00D72853">
              <w:t xml:space="preserve">La primera fase, que tendrá una duración mínima de tres años, </w:t>
            </w:r>
            <w:r w:rsidRPr="00D72853">
              <w:rPr>
                <w:b/>
                <w:u w:val="single"/>
              </w:rPr>
              <w:t>equivale a las ayudas Juan de la</w:t>
            </w:r>
            <w:r w:rsidRPr="00D72853">
              <w:rPr>
                <w:b/>
                <w:u w:val="single"/>
              </w:rPr>
              <w:t xml:space="preserve"> </w:t>
            </w:r>
            <w:r w:rsidRPr="00D72853">
              <w:rPr>
                <w:b/>
                <w:u w:val="single"/>
              </w:rPr>
              <w:t>Cierva-incorporación de convocatorias anteriores</w:t>
            </w:r>
            <w:r w:rsidRPr="00D72853">
              <w:t>. Esta fase tiene como objetivo afianzar las capacidades</w:t>
            </w:r>
            <w:r>
              <w:t xml:space="preserve"> </w:t>
            </w:r>
            <w:r w:rsidRPr="00D72853">
              <w:t>adquiridas durante una primera etapa previa de formación posdoctoral.</w:t>
            </w:r>
          </w:p>
          <w:p w:rsidR="00D72853" w:rsidRPr="00D72853" w:rsidRDefault="00D72853" w:rsidP="00D72853">
            <w:pPr>
              <w:pStyle w:val="Prrafodelista"/>
              <w:numPr>
                <w:ilvl w:val="0"/>
                <w:numId w:val="23"/>
              </w:numPr>
              <w:autoSpaceDE w:val="0"/>
              <w:autoSpaceDN w:val="0"/>
              <w:adjustRightInd w:val="0"/>
              <w:spacing w:after="0" w:line="240" w:lineRule="auto"/>
              <w:jc w:val="both"/>
            </w:pPr>
            <w:r w:rsidRPr="00D72853">
              <w:t>La segunda fase tendrá una duración máxima de dos años. Para poder acceder a esta segunda fase, la</w:t>
            </w:r>
            <w:r>
              <w:t xml:space="preserve"> </w:t>
            </w:r>
            <w:r w:rsidRPr="00D72853">
              <w:t>persona investigadora podrá presentarse a partir de la finalización del segundo año a una evaluación de</w:t>
            </w:r>
            <w:r>
              <w:t xml:space="preserve"> </w:t>
            </w:r>
            <w:r w:rsidRPr="00D72853">
              <w:t>su actividad científico-técnica que se realizará teniendo en cuenta los criterios para ser investigador/a R3–investigador/a establecido/a–, contenidos en la Estrategia de recursos humanos para investigadores de la</w:t>
            </w:r>
            <w:r>
              <w:t xml:space="preserve"> </w:t>
            </w:r>
            <w:r w:rsidRPr="00D72853">
              <w:t>Unión Europea (HRS4R). Cuando la evaluación sea positiva la persona investigadora accederá a una fase</w:t>
            </w:r>
            <w:r>
              <w:t xml:space="preserve"> </w:t>
            </w:r>
            <w:r w:rsidRPr="00D72853">
              <w:t>del programa que estará dirigida a adquirir las competencias y capacidades que permitan obtener un</w:t>
            </w:r>
            <w:r>
              <w:t xml:space="preserve"> </w:t>
            </w:r>
            <w:r w:rsidRPr="00D72853">
              <w:t>puesto de carácter estable y se incrementará la cuantía de la ayuda.</w:t>
            </w:r>
          </w:p>
        </w:tc>
      </w:tr>
      <w:tr w:rsidR="001C613C" w:rsidRPr="00C36D06" w:rsidTr="00AB6001">
        <w:tc>
          <w:tcPr>
            <w:tcW w:w="1702" w:type="dxa"/>
          </w:tcPr>
          <w:p w:rsidR="001C613C" w:rsidRDefault="00933AEA">
            <w:r w:rsidRPr="003F6E7A">
              <w:rPr>
                <w:b/>
                <w:color w:val="1F3864" w:themeColor="accent5" w:themeShade="80"/>
              </w:rPr>
              <w:t>Web</w:t>
            </w:r>
          </w:p>
        </w:tc>
        <w:tc>
          <w:tcPr>
            <w:tcW w:w="8935" w:type="dxa"/>
          </w:tcPr>
          <w:p w:rsidR="00900A6B" w:rsidRPr="00C36D06" w:rsidRDefault="00D72853" w:rsidP="00C36D06">
            <w:hyperlink r:id="rId8" w:history="1">
              <w:r>
                <w:rPr>
                  <w:rStyle w:val="Hipervnculo"/>
                </w:rPr>
                <w:t>Ayudas para contratos Ramón y Cajal (RYC) 2021 | Agencia Estatal de Investigación (aei.gob.es)</w:t>
              </w:r>
            </w:hyperlink>
          </w:p>
        </w:tc>
      </w:tr>
      <w:tr w:rsidR="001C613C" w:rsidTr="00AB6001">
        <w:tc>
          <w:tcPr>
            <w:tcW w:w="1702" w:type="dxa"/>
          </w:tcPr>
          <w:p w:rsidR="001C613C" w:rsidRDefault="00652909" w:rsidP="00481A3A">
            <w:pPr>
              <w:spacing w:after="0"/>
            </w:pPr>
            <w:r>
              <w:rPr>
                <w:b/>
                <w:color w:val="1F3864" w:themeColor="accent5" w:themeShade="80"/>
              </w:rPr>
              <w:t>Plazo</w:t>
            </w:r>
          </w:p>
        </w:tc>
        <w:tc>
          <w:tcPr>
            <w:tcW w:w="8935" w:type="dxa"/>
          </w:tcPr>
          <w:p w:rsidR="00A53066" w:rsidRPr="00D72853" w:rsidRDefault="00D72853" w:rsidP="00C36D06">
            <w:pPr>
              <w:pStyle w:val="NormalWeb"/>
              <w:shd w:val="clear" w:color="auto" w:fill="FEFBD2"/>
              <w:spacing w:before="0" w:beforeAutospacing="0" w:after="0" w:afterAutospacing="0"/>
              <w:jc w:val="both"/>
              <w:rPr>
                <w:rFonts w:ascii="Calibri" w:eastAsiaTheme="minorHAnsi" w:hAnsi="Calibri" w:cs="Calibri"/>
                <w:sz w:val="22"/>
                <w:szCs w:val="22"/>
                <w:lang w:val="es-ES" w:eastAsia="en-US"/>
              </w:rPr>
            </w:pPr>
            <w:r w:rsidRPr="00D72853">
              <w:rPr>
                <w:rFonts w:ascii="Calibri" w:eastAsiaTheme="minorHAnsi" w:hAnsi="Calibri" w:cs="Calibri"/>
                <w:sz w:val="22"/>
                <w:szCs w:val="22"/>
                <w:lang w:val="es-ES" w:eastAsia="en-US"/>
              </w:rPr>
              <w:t>Desde el 18 de enero hasta el 08 de febrero de 2022 a las 14:00h (horario peninsular)</w:t>
            </w:r>
          </w:p>
        </w:tc>
      </w:tr>
      <w:tr w:rsidR="00933AEA" w:rsidTr="00AB6001">
        <w:tc>
          <w:tcPr>
            <w:tcW w:w="10637" w:type="dxa"/>
            <w:gridSpan w:val="2"/>
            <w:shd w:val="clear" w:color="auto" w:fill="1F3864" w:themeFill="accent5" w:themeFillShade="80"/>
          </w:tcPr>
          <w:p w:rsidR="00933AEA" w:rsidRPr="00AB6001" w:rsidRDefault="00D3296A" w:rsidP="00481A3A">
            <w:pPr>
              <w:jc w:val="center"/>
              <w:rPr>
                <w:b/>
                <w:color w:val="1F3864" w:themeColor="accent5" w:themeShade="80"/>
              </w:rPr>
            </w:pPr>
            <w:r w:rsidRPr="00AB6001">
              <w:rPr>
                <w:b/>
                <w:color w:val="FFFFFF" w:themeColor="background1"/>
                <w:sz w:val="28"/>
              </w:rPr>
              <w:t>CARACTERÍSTICAS PRINCIPALES</w:t>
            </w:r>
          </w:p>
        </w:tc>
      </w:tr>
      <w:tr w:rsidR="00AB6001" w:rsidTr="00AB6001">
        <w:tc>
          <w:tcPr>
            <w:tcW w:w="1702" w:type="dxa"/>
          </w:tcPr>
          <w:p w:rsidR="00AB6001" w:rsidRDefault="00AB6001">
            <w:pPr>
              <w:rPr>
                <w:b/>
                <w:color w:val="1F3864" w:themeColor="accent5" w:themeShade="80"/>
              </w:rPr>
            </w:pPr>
            <w:r>
              <w:rPr>
                <w:b/>
                <w:color w:val="1F3864" w:themeColor="accent5" w:themeShade="80"/>
              </w:rPr>
              <w:t>Tipo De ayuda</w:t>
            </w:r>
          </w:p>
        </w:tc>
        <w:tc>
          <w:tcPr>
            <w:tcW w:w="8935" w:type="dxa"/>
          </w:tcPr>
          <w:p w:rsidR="00AB6001" w:rsidRPr="00AB6001" w:rsidRDefault="00C36D06" w:rsidP="00481A3A">
            <w:pPr>
              <w:spacing w:after="0" w:line="240" w:lineRule="auto"/>
              <w:jc w:val="both"/>
              <w:rPr>
                <w:b/>
                <w:color w:val="1F3864" w:themeColor="accent5" w:themeShade="80"/>
              </w:rPr>
            </w:pPr>
            <w:r>
              <w:rPr>
                <w:b/>
                <w:color w:val="1F3864" w:themeColor="accent5" w:themeShade="80"/>
              </w:rPr>
              <w:t>C</w:t>
            </w:r>
            <w:r w:rsidRPr="00C36D06">
              <w:t>ontratos</w:t>
            </w:r>
          </w:p>
        </w:tc>
      </w:tr>
      <w:tr w:rsidR="001C613C" w:rsidRPr="00E22C54" w:rsidTr="00AB6001">
        <w:tc>
          <w:tcPr>
            <w:tcW w:w="1702" w:type="dxa"/>
          </w:tcPr>
          <w:p w:rsidR="003F6E7A" w:rsidRDefault="003F6E7A">
            <w:pPr>
              <w:rPr>
                <w:b/>
                <w:color w:val="1F3864" w:themeColor="accent5" w:themeShade="80"/>
              </w:rPr>
            </w:pPr>
          </w:p>
          <w:p w:rsidR="001C613C" w:rsidRPr="003F6E7A" w:rsidRDefault="00311272">
            <w:pPr>
              <w:rPr>
                <w:b/>
                <w:color w:val="1F3864" w:themeColor="accent5" w:themeShade="80"/>
              </w:rPr>
            </w:pPr>
            <w:r>
              <w:rPr>
                <w:b/>
                <w:color w:val="1F3864" w:themeColor="accent5" w:themeShade="80"/>
              </w:rPr>
              <w:t>Requisitos</w:t>
            </w:r>
          </w:p>
        </w:tc>
        <w:tc>
          <w:tcPr>
            <w:tcW w:w="8935" w:type="dxa"/>
          </w:tcPr>
          <w:p w:rsidR="002005C0" w:rsidRDefault="00D72853" w:rsidP="00D72853">
            <w:pPr>
              <w:autoSpaceDE w:val="0"/>
              <w:autoSpaceDN w:val="0"/>
              <w:adjustRightInd w:val="0"/>
              <w:spacing w:after="0" w:line="240" w:lineRule="auto"/>
              <w:jc w:val="both"/>
            </w:pPr>
            <w:r w:rsidRPr="00D72853">
              <w:rPr>
                <w:b/>
              </w:rPr>
              <w:t>Requisitos Solicitantes:</w:t>
            </w:r>
            <w:r>
              <w:t xml:space="preserve"> Podrán ser solicitantes y beneficiarias de las ayudas los siguientes centros de Centros de I+D, siempre que cuenten con personalidad jurídica propia y estén </w:t>
            </w:r>
            <w:proofErr w:type="spellStart"/>
            <w:r>
              <w:t>estén</w:t>
            </w:r>
            <w:proofErr w:type="spellEnd"/>
            <w:r>
              <w:t xml:space="preserve"> válidamente constituidos</w:t>
            </w:r>
            <w:r>
              <w:t>.</w:t>
            </w:r>
          </w:p>
          <w:p w:rsidR="00D72853" w:rsidRDefault="00D72853" w:rsidP="00D72853">
            <w:pPr>
              <w:autoSpaceDE w:val="0"/>
              <w:autoSpaceDN w:val="0"/>
              <w:adjustRightInd w:val="0"/>
              <w:spacing w:after="0" w:line="240" w:lineRule="auto"/>
              <w:jc w:val="both"/>
            </w:pPr>
            <w:r>
              <w:t xml:space="preserve">Entre otros:  </w:t>
            </w:r>
            <w:r>
              <w:t>Centros privados de I+D+i, con personalidad jurídica propia, que tengan definida en sus estatutos o en la normativa que los regule o en su objeto social a la I+D+i como actividad principal.</w:t>
            </w:r>
          </w:p>
          <w:p w:rsidR="00D72853" w:rsidRPr="00D72853" w:rsidRDefault="00D72853" w:rsidP="00D72853">
            <w:pPr>
              <w:autoSpaceDE w:val="0"/>
              <w:autoSpaceDN w:val="0"/>
              <w:adjustRightInd w:val="0"/>
              <w:spacing w:after="0" w:line="240" w:lineRule="auto"/>
              <w:jc w:val="both"/>
              <w:rPr>
                <w:b/>
              </w:rPr>
            </w:pPr>
            <w:r w:rsidRPr="00D72853">
              <w:rPr>
                <w:b/>
              </w:rPr>
              <w:t>Requisitos Candidatos:</w:t>
            </w:r>
          </w:p>
          <w:p w:rsidR="00D72853" w:rsidRDefault="00D72853" w:rsidP="00D72853">
            <w:pPr>
              <w:autoSpaceDE w:val="0"/>
              <w:autoSpaceDN w:val="0"/>
              <w:adjustRightInd w:val="0"/>
              <w:spacing w:after="0" w:line="240" w:lineRule="auto"/>
              <w:jc w:val="both"/>
            </w:pPr>
            <w:r>
              <w:t xml:space="preserve">Las personas candidatas deberán reunir los siguientes requisitos: </w:t>
            </w:r>
          </w:p>
          <w:p w:rsidR="00D72853" w:rsidRDefault="00D72853" w:rsidP="00D72853">
            <w:pPr>
              <w:pStyle w:val="Prrafodelista"/>
              <w:numPr>
                <w:ilvl w:val="0"/>
                <w:numId w:val="24"/>
              </w:numPr>
              <w:autoSpaceDE w:val="0"/>
              <w:autoSpaceDN w:val="0"/>
              <w:adjustRightInd w:val="0"/>
              <w:spacing w:after="0" w:line="240" w:lineRule="auto"/>
              <w:jc w:val="both"/>
            </w:pPr>
            <w:r>
              <w:t xml:space="preserve">Estar en posesión del grado de doctor. </w:t>
            </w:r>
          </w:p>
          <w:p w:rsidR="00D72853" w:rsidRDefault="00D72853" w:rsidP="00D72853">
            <w:pPr>
              <w:pStyle w:val="Prrafodelista"/>
              <w:numPr>
                <w:ilvl w:val="1"/>
                <w:numId w:val="24"/>
              </w:numPr>
              <w:autoSpaceDE w:val="0"/>
              <w:autoSpaceDN w:val="0"/>
              <w:adjustRightInd w:val="0"/>
              <w:spacing w:after="0" w:line="240" w:lineRule="auto"/>
              <w:jc w:val="both"/>
            </w:pPr>
            <w:r>
              <w:t>Para las personas candidatas al turno de acceso general la fecha de obtención del grado de Doctor debe estar comprendida entre el 1 de enero de 2011 y el 31 de diciembre de 2019.</w:t>
            </w:r>
          </w:p>
          <w:p w:rsidR="00D72853" w:rsidRDefault="00D72853" w:rsidP="00D72853">
            <w:pPr>
              <w:pStyle w:val="Prrafodelista"/>
              <w:numPr>
                <w:ilvl w:val="1"/>
                <w:numId w:val="24"/>
              </w:numPr>
              <w:autoSpaceDE w:val="0"/>
              <w:autoSpaceDN w:val="0"/>
              <w:adjustRightInd w:val="0"/>
              <w:spacing w:after="0" w:line="240" w:lineRule="auto"/>
              <w:jc w:val="both"/>
            </w:pPr>
            <w:r>
              <w:t xml:space="preserve"> Para las personas candidatas al turno de jóvenes la fecha de obtención del grado de Doctor debe estar comprendida entre el 1 de enero de 2017 y el 31 de diciembre de 2019. </w:t>
            </w:r>
          </w:p>
          <w:p w:rsidR="00D72853" w:rsidRDefault="00D72853" w:rsidP="00D72853">
            <w:pPr>
              <w:pStyle w:val="Prrafodelista"/>
              <w:numPr>
                <w:ilvl w:val="0"/>
                <w:numId w:val="24"/>
              </w:numPr>
              <w:autoSpaceDE w:val="0"/>
              <w:autoSpaceDN w:val="0"/>
              <w:adjustRightInd w:val="0"/>
              <w:spacing w:after="0" w:line="240" w:lineRule="auto"/>
              <w:jc w:val="both"/>
            </w:pPr>
            <w:r>
              <w:t xml:space="preserve">No haber sido beneficiaria de una ayuda de las convocatorias anteriores de la actuación Ramón y Cajal. </w:t>
            </w:r>
          </w:p>
          <w:p w:rsidR="00D72853" w:rsidRDefault="00D72853" w:rsidP="00D72853">
            <w:pPr>
              <w:pStyle w:val="Prrafodelista"/>
              <w:numPr>
                <w:ilvl w:val="0"/>
                <w:numId w:val="24"/>
              </w:numPr>
              <w:autoSpaceDE w:val="0"/>
              <w:autoSpaceDN w:val="0"/>
              <w:adjustRightInd w:val="0"/>
              <w:spacing w:after="0" w:line="240" w:lineRule="auto"/>
              <w:jc w:val="both"/>
            </w:pPr>
            <w:r>
              <w:t xml:space="preserve">No ser beneficiaria de las Ayudas Juan de la Cierva-Formación o </w:t>
            </w:r>
            <w:r>
              <w:t xml:space="preserve">de las Ayudas Juan de la Cierva </w:t>
            </w:r>
            <w:r>
              <w:t xml:space="preserve">Incorporación, a excepción de aquellas que la hayan disfrutado durante al menos un año. </w:t>
            </w:r>
          </w:p>
          <w:p w:rsidR="00D72853" w:rsidRDefault="00D72853" w:rsidP="00D72853">
            <w:pPr>
              <w:pStyle w:val="Prrafodelista"/>
              <w:numPr>
                <w:ilvl w:val="0"/>
                <w:numId w:val="24"/>
              </w:numPr>
              <w:autoSpaceDE w:val="0"/>
              <w:autoSpaceDN w:val="0"/>
              <w:adjustRightInd w:val="0"/>
              <w:spacing w:after="0" w:line="240" w:lineRule="auto"/>
              <w:jc w:val="both"/>
            </w:pPr>
            <w:r>
              <w:t xml:space="preserve">No presentar </w:t>
            </w:r>
            <w:proofErr w:type="spellStart"/>
            <w:r>
              <w:t>mas</w:t>
            </w:r>
            <w:proofErr w:type="spellEnd"/>
            <w:r>
              <w:t xml:space="preserve"> de una solicitud a la presente convocatoria.  </w:t>
            </w:r>
          </w:p>
          <w:p w:rsidR="00D72853" w:rsidRDefault="00D72853" w:rsidP="00D72853">
            <w:pPr>
              <w:pStyle w:val="Prrafodelista"/>
              <w:numPr>
                <w:ilvl w:val="0"/>
                <w:numId w:val="24"/>
              </w:numPr>
              <w:autoSpaceDE w:val="0"/>
              <w:autoSpaceDN w:val="0"/>
              <w:adjustRightInd w:val="0"/>
              <w:spacing w:after="0" w:line="240" w:lineRule="auto"/>
              <w:jc w:val="both"/>
            </w:pPr>
            <w:r>
              <w:t xml:space="preserve">Tras la concesión, la persona seleccionada </w:t>
            </w:r>
            <w:proofErr w:type="gramStart"/>
            <w:r>
              <w:t>deberá  haber</w:t>
            </w:r>
            <w:proofErr w:type="gramEnd"/>
            <w:r>
              <w:t xml:space="preserve"> realizado estancias, ya sean de carácter continuo o discontinuo, durante al menos veinticuatro meses en Centros de I+D distintos de aquél con el que firme el acuerdo de incorporación. El periodo de veinticuatro meses se contabilizará a partir de la obtención del grado de Doctor y hasta el último día de plazo para presentar los acuerdos de incorporación.</w:t>
            </w:r>
          </w:p>
          <w:p w:rsidR="00D72853" w:rsidRPr="00D72853" w:rsidRDefault="00D72853" w:rsidP="00D72853">
            <w:pPr>
              <w:autoSpaceDE w:val="0"/>
              <w:autoSpaceDN w:val="0"/>
              <w:adjustRightInd w:val="0"/>
              <w:spacing w:after="0" w:line="240" w:lineRule="auto"/>
              <w:jc w:val="both"/>
              <w:rPr>
                <w:rFonts w:asciiTheme="minorHAnsi" w:hAnsiTheme="minorHAnsi" w:cstheme="minorHAnsi"/>
              </w:rPr>
            </w:pPr>
          </w:p>
        </w:tc>
      </w:tr>
      <w:tr w:rsidR="00AB6001" w:rsidTr="00AB6001">
        <w:tc>
          <w:tcPr>
            <w:tcW w:w="1702" w:type="dxa"/>
          </w:tcPr>
          <w:p w:rsidR="00AB6001" w:rsidRDefault="00AB6001">
            <w:pPr>
              <w:rPr>
                <w:b/>
                <w:color w:val="1F3864" w:themeColor="accent5" w:themeShade="80"/>
              </w:rPr>
            </w:pPr>
            <w:r>
              <w:rPr>
                <w:b/>
                <w:color w:val="1F3864" w:themeColor="accent5" w:themeShade="80"/>
              </w:rPr>
              <w:t>Duración</w:t>
            </w:r>
          </w:p>
        </w:tc>
        <w:tc>
          <w:tcPr>
            <w:tcW w:w="8935" w:type="dxa"/>
          </w:tcPr>
          <w:p w:rsidR="00CA6535" w:rsidRPr="00A7429F" w:rsidRDefault="00D72853" w:rsidP="001936EF">
            <w:pPr>
              <w:autoSpaceDE w:val="0"/>
              <w:autoSpaceDN w:val="0"/>
              <w:adjustRightInd w:val="0"/>
              <w:spacing w:after="0" w:line="240" w:lineRule="auto"/>
            </w:pPr>
            <w:r>
              <w:t>5 años</w:t>
            </w:r>
          </w:p>
        </w:tc>
      </w:tr>
      <w:tr w:rsidR="00AB6001" w:rsidTr="00AB6001">
        <w:tc>
          <w:tcPr>
            <w:tcW w:w="1702" w:type="dxa"/>
          </w:tcPr>
          <w:p w:rsidR="00AB6001" w:rsidRDefault="00AB6001">
            <w:pPr>
              <w:rPr>
                <w:b/>
                <w:color w:val="1F3864" w:themeColor="accent5" w:themeShade="80"/>
              </w:rPr>
            </w:pPr>
            <w:r>
              <w:rPr>
                <w:b/>
                <w:color w:val="1F3864" w:themeColor="accent5" w:themeShade="80"/>
              </w:rPr>
              <w:lastRenderedPageBreak/>
              <w:t>Dotación</w:t>
            </w:r>
          </w:p>
        </w:tc>
        <w:tc>
          <w:tcPr>
            <w:tcW w:w="8935" w:type="dxa"/>
          </w:tcPr>
          <w:p w:rsidR="00D72853" w:rsidRPr="00D72853" w:rsidRDefault="00D72853" w:rsidP="00D72853">
            <w:pPr>
              <w:autoSpaceDE w:val="0"/>
              <w:autoSpaceDN w:val="0"/>
              <w:adjustRightInd w:val="0"/>
              <w:spacing w:after="0" w:line="240" w:lineRule="auto"/>
            </w:pPr>
            <w:r w:rsidRPr="00D72853">
              <w:t>Presupuesto de la convocatoria: 152.918.450€ de los cuales cada una de las ayudas contará con:</w:t>
            </w:r>
          </w:p>
          <w:p w:rsidR="00D72853" w:rsidRPr="00D72853" w:rsidRDefault="00D72853" w:rsidP="00D72853">
            <w:pPr>
              <w:autoSpaceDE w:val="0"/>
              <w:autoSpaceDN w:val="0"/>
              <w:adjustRightInd w:val="0"/>
              <w:spacing w:after="0" w:line="240" w:lineRule="auto"/>
            </w:pPr>
            <w:r w:rsidRPr="00D72853">
              <w:t xml:space="preserve">Durante la primera fase la ayuda anual para cada uno de los contratos </w:t>
            </w:r>
            <w:r w:rsidR="00755035">
              <w:t xml:space="preserve">será de 35.450€ (la retribución </w:t>
            </w:r>
            <w:r w:rsidRPr="00D72853">
              <w:t>mínima a recibir por la persona contratada será de 33.300€).</w:t>
            </w:r>
          </w:p>
          <w:p w:rsidR="00D72853" w:rsidRPr="00D72853" w:rsidRDefault="00D72853" w:rsidP="00D72853">
            <w:pPr>
              <w:autoSpaceDE w:val="0"/>
              <w:autoSpaceDN w:val="0"/>
              <w:adjustRightInd w:val="0"/>
              <w:spacing w:after="0" w:line="240" w:lineRule="auto"/>
            </w:pPr>
            <w:r w:rsidRPr="00D72853">
              <w:t xml:space="preserve">Durante la segunda fase la ayuda anual para cada uno de los contratos </w:t>
            </w:r>
            <w:r w:rsidR="00755035">
              <w:t xml:space="preserve">será de 44.000€ (la retribución </w:t>
            </w:r>
            <w:r w:rsidRPr="00D72853">
              <w:t>mínima a recibir por la persona contratada será de 39.900€).</w:t>
            </w:r>
          </w:p>
          <w:p w:rsidR="00CA6535" w:rsidRPr="00D72853" w:rsidRDefault="00D72853" w:rsidP="00D72853">
            <w:pPr>
              <w:autoSpaceDE w:val="0"/>
              <w:autoSpaceDN w:val="0"/>
              <w:adjustRightInd w:val="0"/>
              <w:spacing w:after="0" w:line="240" w:lineRule="auto"/>
            </w:pPr>
            <w:r w:rsidRPr="00D72853">
              <w:t>Ayuda adicional de 42.000€ para cubrir gastos directamente relacionados con la act</w:t>
            </w:r>
            <w:r w:rsidR="00755035">
              <w:t xml:space="preserve">ividad investigadora, </w:t>
            </w:r>
            <w:bookmarkStart w:id="0" w:name="_GoBack"/>
            <w:bookmarkEnd w:id="0"/>
            <w:r w:rsidRPr="00D72853">
              <w:t>que deberán ejecutarse durante las tres primeras anualidades.</w:t>
            </w:r>
          </w:p>
        </w:tc>
      </w:tr>
      <w:tr w:rsidR="00481A3A" w:rsidTr="00AB6001">
        <w:tc>
          <w:tcPr>
            <w:tcW w:w="10637" w:type="dxa"/>
            <w:gridSpan w:val="2"/>
            <w:shd w:val="clear" w:color="auto" w:fill="1F3864" w:themeFill="accent5" w:themeFillShade="80"/>
          </w:tcPr>
          <w:p w:rsidR="00481A3A" w:rsidRPr="003732A9" w:rsidRDefault="00481A3A" w:rsidP="00481A3A">
            <w:pPr>
              <w:pStyle w:val="Prrafodelista"/>
              <w:spacing w:after="0" w:line="240" w:lineRule="auto"/>
              <w:ind w:left="0"/>
              <w:jc w:val="center"/>
              <w:rPr>
                <w:b/>
              </w:rPr>
            </w:pPr>
            <w:r>
              <w:rPr>
                <w:b/>
                <w:color w:val="FFFFFF" w:themeColor="background1"/>
                <w:sz w:val="28"/>
              </w:rPr>
              <w:t>PRESENTACIÓN DE SOLICITUDES</w:t>
            </w:r>
          </w:p>
        </w:tc>
      </w:tr>
      <w:tr w:rsidR="001C613C" w:rsidRPr="00E22C54" w:rsidTr="00AB6001">
        <w:tc>
          <w:tcPr>
            <w:tcW w:w="1702" w:type="dxa"/>
          </w:tcPr>
          <w:p w:rsidR="001C613C" w:rsidRDefault="00481A3A" w:rsidP="00652909">
            <w:r>
              <w:rPr>
                <w:b/>
                <w:color w:val="1F3864" w:themeColor="accent5" w:themeShade="80"/>
              </w:rPr>
              <w:t>Documentación Requerida</w:t>
            </w:r>
          </w:p>
        </w:tc>
        <w:tc>
          <w:tcPr>
            <w:tcW w:w="8935" w:type="dxa"/>
          </w:tcPr>
          <w:p w:rsidR="00D72853" w:rsidRDefault="00D72853" w:rsidP="00D72853">
            <w:pPr>
              <w:autoSpaceDE w:val="0"/>
              <w:autoSpaceDN w:val="0"/>
              <w:adjustRightInd w:val="0"/>
              <w:spacing w:after="0" w:line="240" w:lineRule="auto"/>
              <w:jc w:val="both"/>
            </w:pPr>
            <w:r>
              <w:t xml:space="preserve">Las solicitudes de participación serán presentadas por los centros de I+D y las personas candidatas, respectivamente, a través de los medios electrónicos habilitados para ello en </w:t>
            </w:r>
            <w:hyperlink r:id="rId9" w:history="1">
              <w:r w:rsidRPr="00D72853">
                <w:rPr>
                  <w:rStyle w:val="Hipervnculo"/>
                </w:rPr>
                <w:t>la Sede Electrónica de la Secretaría de Estado de I+D+i.</w:t>
              </w:r>
            </w:hyperlink>
          </w:p>
          <w:p w:rsidR="00D72853" w:rsidRDefault="00D72853" w:rsidP="00D72853">
            <w:pPr>
              <w:autoSpaceDE w:val="0"/>
              <w:autoSpaceDN w:val="0"/>
              <w:adjustRightInd w:val="0"/>
              <w:spacing w:after="0" w:line="240" w:lineRule="auto"/>
              <w:jc w:val="both"/>
            </w:pPr>
            <w:r w:rsidRPr="00D72853">
              <w:rPr>
                <w:b/>
              </w:rPr>
              <w:t>Contenido de las solicitudes de los Centros de I+D:</w:t>
            </w:r>
            <w:r>
              <w:t xml:space="preserve"> </w:t>
            </w:r>
          </w:p>
          <w:p w:rsidR="00D72853" w:rsidRPr="00D72853" w:rsidRDefault="00D72853" w:rsidP="00D72853">
            <w:pPr>
              <w:pStyle w:val="Prrafodelista"/>
              <w:numPr>
                <w:ilvl w:val="0"/>
                <w:numId w:val="25"/>
              </w:numPr>
              <w:autoSpaceDE w:val="0"/>
              <w:autoSpaceDN w:val="0"/>
              <w:adjustRightInd w:val="0"/>
              <w:spacing w:after="0" w:line="240" w:lineRule="auto"/>
              <w:jc w:val="both"/>
              <w:rPr>
                <w:rFonts w:asciiTheme="minorHAnsi" w:hAnsiTheme="minorHAnsi" w:cstheme="minorHAnsi"/>
                <w:szCs w:val="16"/>
              </w:rPr>
            </w:pPr>
            <w:r>
              <w:t>Instancia de solicitud, donde se indicará el número máximo de contratos que se comprometen a ejecutar al amparo de esta actuación. </w:t>
            </w:r>
          </w:p>
          <w:p w:rsidR="00D72853" w:rsidRPr="00D72853" w:rsidRDefault="00D72853" w:rsidP="00D72853">
            <w:pPr>
              <w:pStyle w:val="Prrafodelista"/>
              <w:numPr>
                <w:ilvl w:val="0"/>
                <w:numId w:val="25"/>
              </w:numPr>
              <w:autoSpaceDE w:val="0"/>
              <w:autoSpaceDN w:val="0"/>
              <w:adjustRightInd w:val="0"/>
              <w:spacing w:after="0" w:line="240" w:lineRule="auto"/>
              <w:jc w:val="both"/>
              <w:rPr>
                <w:rFonts w:asciiTheme="minorHAnsi" w:hAnsiTheme="minorHAnsi" w:cstheme="minorHAnsi"/>
                <w:szCs w:val="16"/>
              </w:rPr>
            </w:pPr>
            <w:r>
              <w:t xml:space="preserve"> Distribución por áreas temáticas del compromiso de contratos a cofinanciar (podrá encontrar el listado de áreas temáticas en el Anexo II de la Resolución de la Convocatoria). </w:t>
            </w:r>
          </w:p>
          <w:p w:rsidR="00D72853" w:rsidRDefault="00D72853" w:rsidP="00D72853">
            <w:pPr>
              <w:autoSpaceDE w:val="0"/>
              <w:autoSpaceDN w:val="0"/>
              <w:adjustRightInd w:val="0"/>
              <w:spacing w:after="0" w:line="240" w:lineRule="auto"/>
              <w:jc w:val="both"/>
            </w:pPr>
            <w:r w:rsidRPr="00D72853">
              <w:rPr>
                <w:b/>
              </w:rPr>
              <w:t>Contenido de las solicitudes de las personas candidatas:</w:t>
            </w:r>
            <w:r>
              <w:t xml:space="preserve"> </w:t>
            </w:r>
          </w:p>
          <w:p w:rsidR="00D72853" w:rsidRPr="00D72853" w:rsidRDefault="00D72853" w:rsidP="00D72853">
            <w:pPr>
              <w:pStyle w:val="Prrafodelista"/>
              <w:numPr>
                <w:ilvl w:val="0"/>
                <w:numId w:val="26"/>
              </w:numPr>
              <w:autoSpaceDE w:val="0"/>
              <w:autoSpaceDN w:val="0"/>
              <w:adjustRightInd w:val="0"/>
              <w:spacing w:after="0" w:line="240" w:lineRule="auto"/>
              <w:jc w:val="both"/>
              <w:rPr>
                <w:rFonts w:asciiTheme="minorHAnsi" w:hAnsiTheme="minorHAnsi" w:cstheme="minorHAnsi"/>
                <w:szCs w:val="16"/>
              </w:rPr>
            </w:pPr>
            <w:r>
              <w:t>Instancia de solicitud. </w:t>
            </w:r>
          </w:p>
          <w:p w:rsidR="00D72853" w:rsidRPr="00D72853" w:rsidRDefault="00D72853" w:rsidP="00D72853">
            <w:pPr>
              <w:pStyle w:val="Prrafodelista"/>
              <w:numPr>
                <w:ilvl w:val="0"/>
                <w:numId w:val="26"/>
              </w:numPr>
              <w:autoSpaceDE w:val="0"/>
              <w:autoSpaceDN w:val="0"/>
              <w:adjustRightInd w:val="0"/>
              <w:spacing w:after="0" w:line="240" w:lineRule="auto"/>
              <w:jc w:val="both"/>
              <w:rPr>
                <w:rFonts w:asciiTheme="minorHAnsi" w:hAnsiTheme="minorHAnsi" w:cstheme="minorHAnsi"/>
                <w:szCs w:val="16"/>
              </w:rPr>
            </w:pPr>
            <w:r>
              <w:t xml:space="preserve"> CVA de la persona candidata. </w:t>
            </w:r>
          </w:p>
          <w:p w:rsidR="00D72853" w:rsidRPr="00D72853" w:rsidRDefault="00D72853" w:rsidP="00D72853">
            <w:pPr>
              <w:pStyle w:val="Prrafodelista"/>
              <w:numPr>
                <w:ilvl w:val="0"/>
                <w:numId w:val="26"/>
              </w:numPr>
              <w:autoSpaceDE w:val="0"/>
              <w:autoSpaceDN w:val="0"/>
              <w:adjustRightInd w:val="0"/>
              <w:spacing w:after="0" w:line="240" w:lineRule="auto"/>
              <w:jc w:val="both"/>
              <w:rPr>
                <w:rFonts w:asciiTheme="minorHAnsi" w:hAnsiTheme="minorHAnsi" w:cstheme="minorHAnsi"/>
                <w:szCs w:val="16"/>
              </w:rPr>
            </w:pPr>
            <w:r>
              <w:t xml:space="preserve">Memoria de la trayectoria investigadora de la persona candidata, así como de la línea de investigación principal que ha desarrollado, destacando hasta un máximo de diez de sus aportaciones más relevantes de entre las recogidas en su Currículum Vitae. </w:t>
            </w:r>
          </w:p>
          <w:p w:rsidR="00D72853" w:rsidRPr="00D72853" w:rsidRDefault="00D72853" w:rsidP="00D72853">
            <w:pPr>
              <w:pStyle w:val="Prrafodelista"/>
              <w:numPr>
                <w:ilvl w:val="0"/>
                <w:numId w:val="26"/>
              </w:numPr>
              <w:autoSpaceDE w:val="0"/>
              <w:autoSpaceDN w:val="0"/>
              <w:adjustRightInd w:val="0"/>
              <w:spacing w:after="0" w:line="240" w:lineRule="auto"/>
              <w:jc w:val="both"/>
              <w:rPr>
                <w:rFonts w:asciiTheme="minorHAnsi" w:hAnsiTheme="minorHAnsi" w:cstheme="minorHAnsi"/>
                <w:szCs w:val="16"/>
              </w:rPr>
            </w:pPr>
            <w:r>
              <w:t xml:space="preserve">Copia del pasaporte en vigor (únicamente en el caso de personas extranjeras no residentes en territorio español). </w:t>
            </w:r>
          </w:p>
          <w:p w:rsidR="006C2264" w:rsidRPr="00D72853" w:rsidRDefault="00D72853" w:rsidP="00D72853">
            <w:pPr>
              <w:pStyle w:val="Prrafodelista"/>
              <w:numPr>
                <w:ilvl w:val="0"/>
                <w:numId w:val="26"/>
              </w:numPr>
              <w:autoSpaceDE w:val="0"/>
              <w:autoSpaceDN w:val="0"/>
              <w:adjustRightInd w:val="0"/>
              <w:spacing w:after="0" w:line="240" w:lineRule="auto"/>
              <w:jc w:val="both"/>
              <w:rPr>
                <w:rFonts w:asciiTheme="minorHAnsi" w:hAnsiTheme="minorHAnsi" w:cstheme="minorHAnsi"/>
                <w:szCs w:val="16"/>
              </w:rPr>
            </w:pPr>
            <w:r>
              <w:t>Copia del título de doctor o de la certificación académica, donde figure indicación expresa de la fecha en la que se obtuvo el grado de doctor (únicamente en el caso de que la persona candidata haya obtenido el título de doctor en una universidad extranjera)</w:t>
            </w:r>
          </w:p>
          <w:p w:rsidR="00D72853" w:rsidRPr="00D72853" w:rsidRDefault="00D72853" w:rsidP="00D72853">
            <w:pPr>
              <w:autoSpaceDE w:val="0"/>
              <w:autoSpaceDN w:val="0"/>
              <w:adjustRightInd w:val="0"/>
              <w:spacing w:after="0" w:line="240" w:lineRule="auto"/>
              <w:jc w:val="both"/>
              <w:rPr>
                <w:rFonts w:asciiTheme="minorHAnsi" w:hAnsiTheme="minorHAnsi" w:cstheme="minorHAnsi"/>
                <w:szCs w:val="16"/>
              </w:rPr>
            </w:pPr>
            <w:r>
              <w:t xml:space="preserve">Encontrará todos los modelos y la información necesaria para la realización de la solicitud en este </w:t>
            </w:r>
            <w:hyperlink r:id="rId10" w:history="1">
              <w:r w:rsidRPr="00D72853">
                <w:rPr>
                  <w:rStyle w:val="Hipervnculo"/>
                </w:rPr>
                <w:t>enlace</w:t>
              </w:r>
            </w:hyperlink>
            <w:r>
              <w:t>.</w:t>
            </w:r>
          </w:p>
        </w:tc>
      </w:tr>
      <w:tr w:rsidR="00E22C54" w:rsidRPr="00E22C54" w:rsidTr="00AB6001">
        <w:tc>
          <w:tcPr>
            <w:tcW w:w="1702" w:type="dxa"/>
          </w:tcPr>
          <w:p w:rsidR="00E22C54" w:rsidRDefault="00E22C54" w:rsidP="00652909">
            <w:pPr>
              <w:rPr>
                <w:b/>
                <w:color w:val="1F3864" w:themeColor="accent5" w:themeShade="80"/>
              </w:rPr>
            </w:pPr>
            <w:r>
              <w:rPr>
                <w:b/>
                <w:color w:val="1F3864" w:themeColor="accent5" w:themeShade="80"/>
              </w:rPr>
              <w:t>Información adicional</w:t>
            </w:r>
          </w:p>
        </w:tc>
        <w:tc>
          <w:tcPr>
            <w:tcW w:w="8935" w:type="dxa"/>
          </w:tcPr>
          <w:p w:rsidR="00735EBB" w:rsidRPr="00735EBB" w:rsidRDefault="00735EBB" w:rsidP="00735EBB">
            <w:pPr>
              <w:autoSpaceDE w:val="0"/>
              <w:autoSpaceDN w:val="0"/>
              <w:adjustRightInd w:val="0"/>
              <w:spacing w:after="0" w:line="240" w:lineRule="auto"/>
              <w:rPr>
                <w:rFonts w:asciiTheme="minorHAnsi" w:hAnsiTheme="minorHAnsi" w:cstheme="minorHAnsi"/>
                <w:szCs w:val="16"/>
              </w:rPr>
            </w:pPr>
            <w:r w:rsidRPr="00735EBB">
              <w:rPr>
                <w:rFonts w:asciiTheme="minorHAnsi" w:hAnsiTheme="minorHAnsi" w:cstheme="minorHAnsi"/>
                <w:szCs w:val="16"/>
              </w:rPr>
              <w:t>Criterios de EVALUACIÓN:</w:t>
            </w:r>
          </w:p>
          <w:p w:rsidR="001560F4" w:rsidRPr="00CA6535" w:rsidRDefault="00D72853" w:rsidP="00CA6535">
            <w:pPr>
              <w:autoSpaceDE w:val="0"/>
              <w:autoSpaceDN w:val="0"/>
              <w:adjustRightInd w:val="0"/>
              <w:spacing w:after="0" w:line="240" w:lineRule="auto"/>
              <w:jc w:val="both"/>
              <w:rPr>
                <w:rFonts w:asciiTheme="minorHAnsi" w:hAnsiTheme="minorHAnsi" w:cstheme="minorHAnsi"/>
                <w:szCs w:val="16"/>
              </w:rPr>
            </w:pPr>
            <w:r>
              <w:t>Trayectoria académica o profesional del candidato: hasta 100 puntos. Aportaciones científico-técnicas, hasta 55 puntos.  Movilidad e internacionalización, hasta 25 puntos. Liderazgo, hasta 20 puntos. </w:t>
            </w:r>
          </w:p>
        </w:tc>
      </w:tr>
    </w:tbl>
    <w:p w:rsidR="00FB58EE" w:rsidRPr="00EC1C9A" w:rsidRDefault="00FB58EE" w:rsidP="00FB58EE">
      <w:pPr>
        <w:spacing w:before="240" w:after="0"/>
        <w:ind w:left="-851" w:right="-852"/>
        <w:jc w:val="both"/>
        <w:rPr>
          <w:i/>
        </w:rPr>
      </w:pPr>
      <w:r>
        <w:rPr>
          <w:i/>
        </w:rPr>
        <w:t>D</w:t>
      </w:r>
      <w:r w:rsidRPr="00EC1C9A">
        <w:rPr>
          <w:i/>
        </w:rPr>
        <w:t xml:space="preserve">esde la FIHM, estamos a su disposición, pudiéndose poner contacto con nosotros a través </w:t>
      </w:r>
      <w:r>
        <w:rPr>
          <w:i/>
        </w:rPr>
        <w:t xml:space="preserve">del correo que </w:t>
      </w:r>
      <w:r w:rsidRPr="00EC1C9A">
        <w:rPr>
          <w:i/>
        </w:rPr>
        <w:t>indicamos a continuación:</w:t>
      </w:r>
      <w:r>
        <w:rPr>
          <w:i/>
        </w:rPr>
        <w:t xml:space="preserve"> </w:t>
      </w:r>
      <w:hyperlink r:id="rId11" w:history="1">
        <w:r w:rsidRPr="00D150FE">
          <w:rPr>
            <w:rStyle w:val="Hipervnculo"/>
            <w:i/>
          </w:rPr>
          <w:t>cgimenez@fundacionhm.com</w:t>
        </w:r>
      </w:hyperlink>
      <w:r>
        <w:rPr>
          <w:i/>
        </w:rPr>
        <w:t xml:space="preserve"> </w:t>
      </w:r>
    </w:p>
    <w:p w:rsidR="001C613C" w:rsidRDefault="001C613C"/>
    <w:sectPr w:rsidR="001C613C" w:rsidSect="00AB6001">
      <w:headerReference w:type="default" r:id="rId12"/>
      <w:pgSz w:w="11906" w:h="16838"/>
      <w:pgMar w:top="1135"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28" w:rsidRDefault="00614D28" w:rsidP="001C613C">
      <w:pPr>
        <w:spacing w:after="0" w:line="240" w:lineRule="auto"/>
      </w:pPr>
      <w:r>
        <w:separator/>
      </w:r>
    </w:p>
  </w:endnote>
  <w:endnote w:type="continuationSeparator" w:id="0">
    <w:p w:rsidR="00614D28" w:rsidRDefault="00614D28" w:rsidP="001C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28" w:rsidRDefault="00614D28" w:rsidP="001C613C">
      <w:pPr>
        <w:spacing w:after="0" w:line="240" w:lineRule="auto"/>
      </w:pPr>
      <w:r>
        <w:separator/>
      </w:r>
    </w:p>
  </w:footnote>
  <w:footnote w:type="continuationSeparator" w:id="0">
    <w:p w:rsidR="00614D28" w:rsidRDefault="00614D28" w:rsidP="001C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03" w:rsidRDefault="003F0703">
    <w:pPr>
      <w:pStyle w:val="Encabezado"/>
    </w:pPr>
    <w:r w:rsidRPr="001C613C">
      <w:rPr>
        <w:noProof/>
        <w:lang w:val="en-GB" w:eastAsia="en-GB"/>
      </w:rPr>
      <w:drawing>
        <wp:anchor distT="0" distB="0" distL="114300" distR="114300" simplePos="0" relativeHeight="251659264" behindDoc="1" locked="0" layoutInCell="1" allowOverlap="1" wp14:anchorId="35CF3F0F" wp14:editId="6AB2F71E">
          <wp:simplePos x="0" y="0"/>
          <wp:positionH relativeFrom="margin">
            <wp:posOffset>4988966</wp:posOffset>
          </wp:positionH>
          <wp:positionV relativeFrom="paragraph">
            <wp:posOffset>-354609</wp:posOffset>
          </wp:positionV>
          <wp:extent cx="1360170" cy="706755"/>
          <wp:effectExtent l="0" t="0" r="0" b="0"/>
          <wp:wrapTight wrapText="bothSides">
            <wp:wrapPolygon edited="0">
              <wp:start x="0" y="0"/>
              <wp:lineTo x="0" y="20960"/>
              <wp:lineTo x="21176" y="20960"/>
              <wp:lineTo x="2117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0170"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2FE"/>
    <w:multiLevelType w:val="hybridMultilevel"/>
    <w:tmpl w:val="7BFA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6997"/>
    <w:multiLevelType w:val="hybridMultilevel"/>
    <w:tmpl w:val="0FF234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4093B"/>
    <w:multiLevelType w:val="hybridMultilevel"/>
    <w:tmpl w:val="8C18E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C3795"/>
    <w:multiLevelType w:val="hybridMultilevel"/>
    <w:tmpl w:val="02FA7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86A40"/>
    <w:multiLevelType w:val="hybridMultilevel"/>
    <w:tmpl w:val="C6A68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484257"/>
    <w:multiLevelType w:val="hybridMultilevel"/>
    <w:tmpl w:val="7414A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87E82"/>
    <w:multiLevelType w:val="hybridMultilevel"/>
    <w:tmpl w:val="2438B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1CE21CD"/>
    <w:multiLevelType w:val="hybridMultilevel"/>
    <w:tmpl w:val="C06A4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A2781"/>
    <w:multiLevelType w:val="hybridMultilevel"/>
    <w:tmpl w:val="71A2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C5A9D"/>
    <w:multiLevelType w:val="hybridMultilevel"/>
    <w:tmpl w:val="5AFE2B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0E3F05"/>
    <w:multiLevelType w:val="hybridMultilevel"/>
    <w:tmpl w:val="A3882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63295"/>
    <w:multiLevelType w:val="hybridMultilevel"/>
    <w:tmpl w:val="685C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B6D96"/>
    <w:multiLevelType w:val="hybridMultilevel"/>
    <w:tmpl w:val="BBEA9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BB334B"/>
    <w:multiLevelType w:val="hybridMultilevel"/>
    <w:tmpl w:val="B4C0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D15CD"/>
    <w:multiLevelType w:val="hybridMultilevel"/>
    <w:tmpl w:val="42228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985348"/>
    <w:multiLevelType w:val="hybridMultilevel"/>
    <w:tmpl w:val="F26CC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CF4B64"/>
    <w:multiLevelType w:val="hybridMultilevel"/>
    <w:tmpl w:val="F12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A1C06"/>
    <w:multiLevelType w:val="hybridMultilevel"/>
    <w:tmpl w:val="E162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36E97"/>
    <w:multiLevelType w:val="hybridMultilevel"/>
    <w:tmpl w:val="1A602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C1A9C"/>
    <w:multiLevelType w:val="hybridMultilevel"/>
    <w:tmpl w:val="CCEE7F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683E50E4"/>
    <w:multiLevelType w:val="hybridMultilevel"/>
    <w:tmpl w:val="25A0D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B353CA"/>
    <w:multiLevelType w:val="hybridMultilevel"/>
    <w:tmpl w:val="61E4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76CB3"/>
    <w:multiLevelType w:val="hybridMultilevel"/>
    <w:tmpl w:val="2CAA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06056"/>
    <w:multiLevelType w:val="hybridMultilevel"/>
    <w:tmpl w:val="FBB02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2056A"/>
    <w:multiLevelType w:val="hybridMultilevel"/>
    <w:tmpl w:val="C5F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230CA"/>
    <w:multiLevelType w:val="hybridMultilevel"/>
    <w:tmpl w:val="C118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4"/>
  </w:num>
  <w:num w:numId="4">
    <w:abstractNumId w:val="2"/>
  </w:num>
  <w:num w:numId="5">
    <w:abstractNumId w:val="9"/>
  </w:num>
  <w:num w:numId="6">
    <w:abstractNumId w:val="8"/>
  </w:num>
  <w:num w:numId="7">
    <w:abstractNumId w:val="0"/>
  </w:num>
  <w:num w:numId="8">
    <w:abstractNumId w:val="10"/>
  </w:num>
  <w:num w:numId="9">
    <w:abstractNumId w:val="1"/>
  </w:num>
  <w:num w:numId="10">
    <w:abstractNumId w:val="17"/>
  </w:num>
  <w:num w:numId="11">
    <w:abstractNumId w:val="6"/>
  </w:num>
  <w:num w:numId="12">
    <w:abstractNumId w:val="18"/>
  </w:num>
  <w:num w:numId="13">
    <w:abstractNumId w:val="7"/>
  </w:num>
  <w:num w:numId="14">
    <w:abstractNumId w:val="5"/>
  </w:num>
  <w:num w:numId="15">
    <w:abstractNumId w:val="16"/>
  </w:num>
  <w:num w:numId="16">
    <w:abstractNumId w:val="11"/>
  </w:num>
  <w:num w:numId="17">
    <w:abstractNumId w:val="24"/>
  </w:num>
  <w:num w:numId="18">
    <w:abstractNumId w:val="12"/>
  </w:num>
  <w:num w:numId="19">
    <w:abstractNumId w:val="22"/>
  </w:num>
  <w:num w:numId="20">
    <w:abstractNumId w:val="15"/>
  </w:num>
  <w:num w:numId="21">
    <w:abstractNumId w:val="19"/>
  </w:num>
  <w:num w:numId="22">
    <w:abstractNumId w:val="20"/>
  </w:num>
  <w:num w:numId="23">
    <w:abstractNumId w:val="13"/>
  </w:num>
  <w:num w:numId="24">
    <w:abstractNumId w:val="23"/>
  </w:num>
  <w:num w:numId="25">
    <w:abstractNumId w:val="21"/>
  </w:num>
  <w:num w:numId="2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3C"/>
    <w:rsid w:val="000050B4"/>
    <w:rsid w:val="000163D4"/>
    <w:rsid w:val="000249AD"/>
    <w:rsid w:val="00051F3B"/>
    <w:rsid w:val="000560B5"/>
    <w:rsid w:val="00087E38"/>
    <w:rsid w:val="000D2D64"/>
    <w:rsid w:val="000F38B5"/>
    <w:rsid w:val="001529CC"/>
    <w:rsid w:val="001560F4"/>
    <w:rsid w:val="00192AB8"/>
    <w:rsid w:val="001936EF"/>
    <w:rsid w:val="001938E6"/>
    <w:rsid w:val="001960E8"/>
    <w:rsid w:val="001C613C"/>
    <w:rsid w:val="002005C0"/>
    <w:rsid w:val="002165CF"/>
    <w:rsid w:val="00220A93"/>
    <w:rsid w:val="002248FC"/>
    <w:rsid w:val="002269DE"/>
    <w:rsid w:val="00252857"/>
    <w:rsid w:val="00311272"/>
    <w:rsid w:val="003372A8"/>
    <w:rsid w:val="00345B95"/>
    <w:rsid w:val="00356475"/>
    <w:rsid w:val="003732A9"/>
    <w:rsid w:val="00392320"/>
    <w:rsid w:val="003A2D7C"/>
    <w:rsid w:val="003D79CA"/>
    <w:rsid w:val="003F0703"/>
    <w:rsid w:val="003F6E7A"/>
    <w:rsid w:val="00405ED7"/>
    <w:rsid w:val="00467062"/>
    <w:rsid w:val="00481A3A"/>
    <w:rsid w:val="00486215"/>
    <w:rsid w:val="004A06D6"/>
    <w:rsid w:val="004C131E"/>
    <w:rsid w:val="004C4C89"/>
    <w:rsid w:val="004D2AC7"/>
    <w:rsid w:val="004D35FA"/>
    <w:rsid w:val="004E43D5"/>
    <w:rsid w:val="004F26D8"/>
    <w:rsid w:val="00507334"/>
    <w:rsid w:val="00533398"/>
    <w:rsid w:val="005476B5"/>
    <w:rsid w:val="00575F67"/>
    <w:rsid w:val="00592EF7"/>
    <w:rsid w:val="005B6892"/>
    <w:rsid w:val="005E2944"/>
    <w:rsid w:val="005F1C80"/>
    <w:rsid w:val="006108E2"/>
    <w:rsid w:val="00614D28"/>
    <w:rsid w:val="006306BB"/>
    <w:rsid w:val="00651F7B"/>
    <w:rsid w:val="00652909"/>
    <w:rsid w:val="006C2264"/>
    <w:rsid w:val="00720EAF"/>
    <w:rsid w:val="00735EBB"/>
    <w:rsid w:val="00742D32"/>
    <w:rsid w:val="00755035"/>
    <w:rsid w:val="007A1B58"/>
    <w:rsid w:val="007B2356"/>
    <w:rsid w:val="007D707A"/>
    <w:rsid w:val="00865A96"/>
    <w:rsid w:val="00896F5B"/>
    <w:rsid w:val="008B7F87"/>
    <w:rsid w:val="008F6FB1"/>
    <w:rsid w:val="00900A6B"/>
    <w:rsid w:val="00913E1E"/>
    <w:rsid w:val="00933AEA"/>
    <w:rsid w:val="00935CAF"/>
    <w:rsid w:val="00947087"/>
    <w:rsid w:val="009550B7"/>
    <w:rsid w:val="0095520D"/>
    <w:rsid w:val="009A1697"/>
    <w:rsid w:val="009A7493"/>
    <w:rsid w:val="009B6C09"/>
    <w:rsid w:val="009D4D13"/>
    <w:rsid w:val="009F73CF"/>
    <w:rsid w:val="009F7887"/>
    <w:rsid w:val="00A02A82"/>
    <w:rsid w:val="00A037D7"/>
    <w:rsid w:val="00A03D0F"/>
    <w:rsid w:val="00A3512A"/>
    <w:rsid w:val="00A35E91"/>
    <w:rsid w:val="00A42350"/>
    <w:rsid w:val="00A43358"/>
    <w:rsid w:val="00A51513"/>
    <w:rsid w:val="00A53066"/>
    <w:rsid w:val="00A7429F"/>
    <w:rsid w:val="00AB1E86"/>
    <w:rsid w:val="00AB6001"/>
    <w:rsid w:val="00AC24A4"/>
    <w:rsid w:val="00AC36B5"/>
    <w:rsid w:val="00AC70E1"/>
    <w:rsid w:val="00AE385D"/>
    <w:rsid w:val="00AF3F43"/>
    <w:rsid w:val="00B37064"/>
    <w:rsid w:val="00B5009F"/>
    <w:rsid w:val="00B7352A"/>
    <w:rsid w:val="00BB5CA0"/>
    <w:rsid w:val="00BC561E"/>
    <w:rsid w:val="00BE652B"/>
    <w:rsid w:val="00BF4867"/>
    <w:rsid w:val="00C05B22"/>
    <w:rsid w:val="00C224C2"/>
    <w:rsid w:val="00C36D06"/>
    <w:rsid w:val="00C61498"/>
    <w:rsid w:val="00C76608"/>
    <w:rsid w:val="00C9373B"/>
    <w:rsid w:val="00CA6535"/>
    <w:rsid w:val="00CA65BC"/>
    <w:rsid w:val="00CB1F10"/>
    <w:rsid w:val="00CD41DE"/>
    <w:rsid w:val="00D22A84"/>
    <w:rsid w:val="00D3296A"/>
    <w:rsid w:val="00D32D01"/>
    <w:rsid w:val="00D507DD"/>
    <w:rsid w:val="00D628B0"/>
    <w:rsid w:val="00D63DF9"/>
    <w:rsid w:val="00D72853"/>
    <w:rsid w:val="00D74141"/>
    <w:rsid w:val="00DA2994"/>
    <w:rsid w:val="00DF15C7"/>
    <w:rsid w:val="00DF5A4D"/>
    <w:rsid w:val="00DF656F"/>
    <w:rsid w:val="00E033F6"/>
    <w:rsid w:val="00E12F7C"/>
    <w:rsid w:val="00E16C27"/>
    <w:rsid w:val="00E22C54"/>
    <w:rsid w:val="00E44B9B"/>
    <w:rsid w:val="00EF08DD"/>
    <w:rsid w:val="00EF1435"/>
    <w:rsid w:val="00EF66EE"/>
    <w:rsid w:val="00EF6CBD"/>
    <w:rsid w:val="00F20418"/>
    <w:rsid w:val="00F41A30"/>
    <w:rsid w:val="00F74530"/>
    <w:rsid w:val="00F8666A"/>
    <w:rsid w:val="00FB58EE"/>
    <w:rsid w:val="00FE1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4B34"/>
  <w15:chartTrackingRefBased/>
  <w15:docId w15:val="{88704789-C5D5-44FA-9FE3-94511E6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13C"/>
    <w:pPr>
      <w:spacing w:after="200" w:line="276"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13C"/>
    <w:pPr>
      <w:tabs>
        <w:tab w:val="center" w:pos="4252"/>
        <w:tab w:val="right" w:pos="8504"/>
      </w:tabs>
      <w:spacing w:after="0" w:line="240" w:lineRule="auto"/>
    </w:pPr>
    <w:rPr>
      <w:rFonts w:asciiTheme="minorHAnsi" w:hAnsiTheme="minorHAnsi" w:cstheme="minorBidi"/>
    </w:rPr>
  </w:style>
  <w:style w:type="character" w:customStyle="1" w:styleId="EncabezadoCar">
    <w:name w:val="Encabezado Car"/>
    <w:basedOn w:val="Fuentedeprrafopredeter"/>
    <w:link w:val="Encabezado"/>
    <w:uiPriority w:val="99"/>
    <w:rsid w:val="001C613C"/>
  </w:style>
  <w:style w:type="paragraph" w:styleId="Piedepgina">
    <w:name w:val="footer"/>
    <w:basedOn w:val="Normal"/>
    <w:link w:val="PiedepginaCar"/>
    <w:uiPriority w:val="99"/>
    <w:unhideWhenUsed/>
    <w:rsid w:val="001C613C"/>
    <w:pPr>
      <w:tabs>
        <w:tab w:val="center" w:pos="4252"/>
        <w:tab w:val="right" w:pos="8504"/>
      </w:tabs>
      <w:spacing w:after="0" w:line="240" w:lineRule="auto"/>
    </w:pPr>
    <w:rPr>
      <w:rFonts w:asciiTheme="minorHAnsi" w:hAnsiTheme="minorHAnsi" w:cstheme="minorBidi"/>
    </w:rPr>
  </w:style>
  <w:style w:type="character" w:customStyle="1" w:styleId="PiedepginaCar">
    <w:name w:val="Pie de página Car"/>
    <w:basedOn w:val="Fuentedeprrafopredeter"/>
    <w:link w:val="Piedepgina"/>
    <w:uiPriority w:val="99"/>
    <w:rsid w:val="001C613C"/>
  </w:style>
  <w:style w:type="table" w:styleId="Tablaconcuadrcula">
    <w:name w:val="Table Grid"/>
    <w:basedOn w:val="Tablanormal"/>
    <w:uiPriority w:val="39"/>
    <w:rsid w:val="001C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AEA"/>
    <w:pPr>
      <w:ind w:left="720"/>
      <w:contextualSpacing/>
    </w:pPr>
  </w:style>
  <w:style w:type="character" w:styleId="Hipervnculo">
    <w:name w:val="Hyperlink"/>
    <w:basedOn w:val="Fuentedeprrafopredeter"/>
    <w:uiPriority w:val="99"/>
    <w:unhideWhenUsed/>
    <w:rsid w:val="00933AEA"/>
    <w:rPr>
      <w:color w:val="0000FF"/>
      <w:u w:val="single"/>
    </w:rPr>
  </w:style>
  <w:style w:type="paragraph" w:customStyle="1" w:styleId="Default">
    <w:name w:val="Default"/>
    <w:rsid w:val="00CD41DE"/>
    <w:pPr>
      <w:autoSpaceDE w:val="0"/>
      <w:autoSpaceDN w:val="0"/>
      <w:adjustRightInd w:val="0"/>
      <w:spacing w:after="0" w:line="240" w:lineRule="auto"/>
    </w:pPr>
    <w:rPr>
      <w:rFonts w:ascii="Arial" w:hAnsi="Arial" w:cs="Arial"/>
      <w:color w:val="000000"/>
      <w:sz w:val="24"/>
      <w:szCs w:val="24"/>
      <w:lang w:val="en-GB"/>
    </w:rPr>
  </w:style>
  <w:style w:type="character" w:styleId="Textoennegrita">
    <w:name w:val="Strong"/>
    <w:basedOn w:val="Fuentedeprrafopredeter"/>
    <w:uiPriority w:val="22"/>
    <w:qFormat/>
    <w:rsid w:val="00CD41DE"/>
    <w:rPr>
      <w:b/>
      <w:bCs/>
    </w:rPr>
  </w:style>
  <w:style w:type="paragraph" w:styleId="Textodeglobo">
    <w:name w:val="Balloon Text"/>
    <w:basedOn w:val="Normal"/>
    <w:link w:val="TextodegloboCar"/>
    <w:uiPriority w:val="99"/>
    <w:semiHidden/>
    <w:unhideWhenUsed/>
    <w:rsid w:val="00E16C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C27"/>
    <w:rPr>
      <w:rFonts w:ascii="Segoe UI" w:hAnsi="Segoe UI" w:cs="Segoe UI"/>
      <w:sz w:val="18"/>
      <w:szCs w:val="18"/>
    </w:rPr>
  </w:style>
  <w:style w:type="character" w:styleId="Hipervnculovisitado">
    <w:name w:val="FollowedHyperlink"/>
    <w:basedOn w:val="Fuentedeprrafopredeter"/>
    <w:uiPriority w:val="99"/>
    <w:semiHidden/>
    <w:unhideWhenUsed/>
    <w:rsid w:val="001529CC"/>
    <w:rPr>
      <w:color w:val="954F72" w:themeColor="followedHyperlink"/>
      <w:u w:val="single"/>
    </w:rPr>
  </w:style>
  <w:style w:type="paragraph" w:customStyle="1" w:styleId="xmsonormal">
    <w:name w:val="x_msonormal"/>
    <w:basedOn w:val="Normal"/>
    <w:rsid w:val="00A42350"/>
    <w:pPr>
      <w:spacing w:after="0" w:line="240" w:lineRule="auto"/>
    </w:pPr>
    <w:rPr>
      <w:lang w:val="en-GB" w:eastAsia="en-GB"/>
    </w:rPr>
  </w:style>
  <w:style w:type="paragraph" w:styleId="NormalWeb">
    <w:name w:val="Normal (Web)"/>
    <w:basedOn w:val="Normal"/>
    <w:uiPriority w:val="99"/>
    <w:unhideWhenUsed/>
    <w:rsid w:val="00C36D06"/>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1152">
      <w:bodyDiv w:val="1"/>
      <w:marLeft w:val="0"/>
      <w:marRight w:val="0"/>
      <w:marTop w:val="0"/>
      <w:marBottom w:val="0"/>
      <w:divBdr>
        <w:top w:val="none" w:sz="0" w:space="0" w:color="auto"/>
        <w:left w:val="none" w:sz="0" w:space="0" w:color="auto"/>
        <w:bottom w:val="none" w:sz="0" w:space="0" w:color="auto"/>
        <w:right w:val="none" w:sz="0" w:space="0" w:color="auto"/>
      </w:divBdr>
    </w:div>
    <w:div w:id="109013282">
      <w:bodyDiv w:val="1"/>
      <w:marLeft w:val="0"/>
      <w:marRight w:val="0"/>
      <w:marTop w:val="0"/>
      <w:marBottom w:val="0"/>
      <w:divBdr>
        <w:top w:val="none" w:sz="0" w:space="0" w:color="auto"/>
        <w:left w:val="none" w:sz="0" w:space="0" w:color="auto"/>
        <w:bottom w:val="none" w:sz="0" w:space="0" w:color="auto"/>
        <w:right w:val="none" w:sz="0" w:space="0" w:color="auto"/>
      </w:divBdr>
    </w:div>
    <w:div w:id="176621388">
      <w:bodyDiv w:val="1"/>
      <w:marLeft w:val="0"/>
      <w:marRight w:val="0"/>
      <w:marTop w:val="0"/>
      <w:marBottom w:val="0"/>
      <w:divBdr>
        <w:top w:val="none" w:sz="0" w:space="0" w:color="auto"/>
        <w:left w:val="none" w:sz="0" w:space="0" w:color="auto"/>
        <w:bottom w:val="none" w:sz="0" w:space="0" w:color="auto"/>
        <w:right w:val="none" w:sz="0" w:space="0" w:color="auto"/>
      </w:divBdr>
    </w:div>
    <w:div w:id="300842511">
      <w:bodyDiv w:val="1"/>
      <w:marLeft w:val="0"/>
      <w:marRight w:val="0"/>
      <w:marTop w:val="0"/>
      <w:marBottom w:val="0"/>
      <w:divBdr>
        <w:top w:val="none" w:sz="0" w:space="0" w:color="auto"/>
        <w:left w:val="none" w:sz="0" w:space="0" w:color="auto"/>
        <w:bottom w:val="none" w:sz="0" w:space="0" w:color="auto"/>
        <w:right w:val="none" w:sz="0" w:space="0" w:color="auto"/>
      </w:divBdr>
    </w:div>
    <w:div w:id="406806496">
      <w:bodyDiv w:val="1"/>
      <w:marLeft w:val="0"/>
      <w:marRight w:val="0"/>
      <w:marTop w:val="0"/>
      <w:marBottom w:val="0"/>
      <w:divBdr>
        <w:top w:val="none" w:sz="0" w:space="0" w:color="auto"/>
        <w:left w:val="none" w:sz="0" w:space="0" w:color="auto"/>
        <w:bottom w:val="none" w:sz="0" w:space="0" w:color="auto"/>
        <w:right w:val="none" w:sz="0" w:space="0" w:color="auto"/>
      </w:divBdr>
      <w:divsChild>
        <w:div w:id="1802720956">
          <w:marLeft w:val="0"/>
          <w:marRight w:val="0"/>
          <w:marTop w:val="0"/>
          <w:marBottom w:val="0"/>
          <w:divBdr>
            <w:top w:val="none" w:sz="0" w:space="0" w:color="auto"/>
            <w:left w:val="none" w:sz="0" w:space="0" w:color="auto"/>
            <w:bottom w:val="none" w:sz="0" w:space="0" w:color="auto"/>
            <w:right w:val="none" w:sz="0" w:space="0" w:color="auto"/>
          </w:divBdr>
          <w:divsChild>
            <w:div w:id="1540779650">
              <w:marLeft w:val="0"/>
              <w:marRight w:val="0"/>
              <w:marTop w:val="0"/>
              <w:marBottom w:val="0"/>
              <w:divBdr>
                <w:top w:val="none" w:sz="0" w:space="0" w:color="auto"/>
                <w:left w:val="none" w:sz="0" w:space="0" w:color="auto"/>
                <w:bottom w:val="none" w:sz="0" w:space="0" w:color="auto"/>
                <w:right w:val="none" w:sz="0" w:space="0" w:color="auto"/>
              </w:divBdr>
            </w:div>
            <w:div w:id="6213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59519">
      <w:bodyDiv w:val="1"/>
      <w:marLeft w:val="0"/>
      <w:marRight w:val="0"/>
      <w:marTop w:val="0"/>
      <w:marBottom w:val="0"/>
      <w:divBdr>
        <w:top w:val="none" w:sz="0" w:space="0" w:color="auto"/>
        <w:left w:val="none" w:sz="0" w:space="0" w:color="auto"/>
        <w:bottom w:val="none" w:sz="0" w:space="0" w:color="auto"/>
        <w:right w:val="none" w:sz="0" w:space="0" w:color="auto"/>
      </w:divBdr>
    </w:div>
    <w:div w:id="656110251">
      <w:bodyDiv w:val="1"/>
      <w:marLeft w:val="0"/>
      <w:marRight w:val="0"/>
      <w:marTop w:val="0"/>
      <w:marBottom w:val="0"/>
      <w:divBdr>
        <w:top w:val="none" w:sz="0" w:space="0" w:color="auto"/>
        <w:left w:val="none" w:sz="0" w:space="0" w:color="auto"/>
        <w:bottom w:val="none" w:sz="0" w:space="0" w:color="auto"/>
        <w:right w:val="none" w:sz="0" w:space="0" w:color="auto"/>
      </w:divBdr>
    </w:div>
    <w:div w:id="794327447">
      <w:bodyDiv w:val="1"/>
      <w:marLeft w:val="0"/>
      <w:marRight w:val="0"/>
      <w:marTop w:val="0"/>
      <w:marBottom w:val="0"/>
      <w:divBdr>
        <w:top w:val="none" w:sz="0" w:space="0" w:color="auto"/>
        <w:left w:val="none" w:sz="0" w:space="0" w:color="auto"/>
        <w:bottom w:val="none" w:sz="0" w:space="0" w:color="auto"/>
        <w:right w:val="none" w:sz="0" w:space="0" w:color="auto"/>
      </w:divBdr>
    </w:div>
    <w:div w:id="1153523094">
      <w:bodyDiv w:val="1"/>
      <w:marLeft w:val="0"/>
      <w:marRight w:val="0"/>
      <w:marTop w:val="0"/>
      <w:marBottom w:val="0"/>
      <w:divBdr>
        <w:top w:val="none" w:sz="0" w:space="0" w:color="auto"/>
        <w:left w:val="none" w:sz="0" w:space="0" w:color="auto"/>
        <w:bottom w:val="none" w:sz="0" w:space="0" w:color="auto"/>
        <w:right w:val="none" w:sz="0" w:space="0" w:color="auto"/>
      </w:divBdr>
      <w:divsChild>
        <w:div w:id="300775337">
          <w:marLeft w:val="0"/>
          <w:marRight w:val="0"/>
          <w:marTop w:val="0"/>
          <w:marBottom w:val="0"/>
          <w:divBdr>
            <w:top w:val="none" w:sz="0" w:space="0" w:color="auto"/>
            <w:left w:val="none" w:sz="0" w:space="0" w:color="auto"/>
            <w:bottom w:val="none" w:sz="0" w:space="0" w:color="auto"/>
            <w:right w:val="none" w:sz="0" w:space="0" w:color="auto"/>
          </w:divBdr>
          <w:divsChild>
            <w:div w:id="1789156842">
              <w:marLeft w:val="0"/>
              <w:marRight w:val="0"/>
              <w:marTop w:val="0"/>
              <w:marBottom w:val="0"/>
              <w:divBdr>
                <w:top w:val="none" w:sz="0" w:space="0" w:color="auto"/>
                <w:left w:val="none" w:sz="0" w:space="0" w:color="auto"/>
                <w:bottom w:val="none" w:sz="0" w:space="0" w:color="auto"/>
                <w:right w:val="none" w:sz="0" w:space="0" w:color="auto"/>
              </w:divBdr>
            </w:div>
            <w:div w:id="2164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5897">
      <w:bodyDiv w:val="1"/>
      <w:marLeft w:val="0"/>
      <w:marRight w:val="0"/>
      <w:marTop w:val="0"/>
      <w:marBottom w:val="0"/>
      <w:divBdr>
        <w:top w:val="none" w:sz="0" w:space="0" w:color="auto"/>
        <w:left w:val="none" w:sz="0" w:space="0" w:color="auto"/>
        <w:bottom w:val="none" w:sz="0" w:space="0" w:color="auto"/>
        <w:right w:val="none" w:sz="0" w:space="0" w:color="auto"/>
      </w:divBdr>
    </w:div>
    <w:div w:id="1602494697">
      <w:bodyDiv w:val="1"/>
      <w:marLeft w:val="0"/>
      <w:marRight w:val="0"/>
      <w:marTop w:val="0"/>
      <w:marBottom w:val="0"/>
      <w:divBdr>
        <w:top w:val="none" w:sz="0" w:space="0" w:color="auto"/>
        <w:left w:val="none" w:sz="0" w:space="0" w:color="auto"/>
        <w:bottom w:val="none" w:sz="0" w:space="0" w:color="auto"/>
        <w:right w:val="none" w:sz="0" w:space="0" w:color="auto"/>
      </w:divBdr>
    </w:div>
    <w:div w:id="1777285569">
      <w:bodyDiv w:val="1"/>
      <w:marLeft w:val="0"/>
      <w:marRight w:val="0"/>
      <w:marTop w:val="0"/>
      <w:marBottom w:val="0"/>
      <w:divBdr>
        <w:top w:val="none" w:sz="0" w:space="0" w:color="auto"/>
        <w:left w:val="none" w:sz="0" w:space="0" w:color="auto"/>
        <w:bottom w:val="none" w:sz="0" w:space="0" w:color="auto"/>
        <w:right w:val="none" w:sz="0" w:space="0" w:color="auto"/>
      </w:divBdr>
    </w:div>
    <w:div w:id="1816214448">
      <w:bodyDiv w:val="1"/>
      <w:marLeft w:val="0"/>
      <w:marRight w:val="0"/>
      <w:marTop w:val="0"/>
      <w:marBottom w:val="0"/>
      <w:divBdr>
        <w:top w:val="none" w:sz="0" w:space="0" w:color="auto"/>
        <w:left w:val="none" w:sz="0" w:space="0" w:color="auto"/>
        <w:bottom w:val="none" w:sz="0" w:space="0" w:color="auto"/>
        <w:right w:val="none" w:sz="0" w:space="0" w:color="auto"/>
      </w:divBdr>
    </w:div>
    <w:div w:id="1948074184">
      <w:bodyDiv w:val="1"/>
      <w:marLeft w:val="0"/>
      <w:marRight w:val="0"/>
      <w:marTop w:val="0"/>
      <w:marBottom w:val="0"/>
      <w:divBdr>
        <w:top w:val="none" w:sz="0" w:space="0" w:color="auto"/>
        <w:left w:val="none" w:sz="0" w:space="0" w:color="auto"/>
        <w:bottom w:val="none" w:sz="0" w:space="0" w:color="auto"/>
        <w:right w:val="none" w:sz="0" w:space="0" w:color="auto"/>
      </w:divBdr>
    </w:div>
    <w:div w:id="213027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i.gob.es/convocatorias/buscador-convocatorias/ayudas-contratos-ramon-cajal-ryc-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imenez@fundacionhm.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ei.gob.es/convocatorias/buscador-convocatorias/ayudas-contratos-ramon-cajal-ryc-2021/orden-bases-convocatoria" TargetMode="External"/><Relationship Id="rId4" Type="http://schemas.openxmlformats.org/officeDocument/2006/relationships/settings" Target="settings.xml"/><Relationship Id="rId9" Type="http://schemas.openxmlformats.org/officeDocument/2006/relationships/hyperlink" Target="https://ciencia.sede.gob.es/pagina/index/directorio/PLAN%202017-2020_Ayudas%20para%20contratos%20Ram%C3%B3n%20y%20Cajal%20(RY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729EC0A78108499783CFF5AE2EA4DB" ma:contentTypeVersion="1" ma:contentTypeDescription="Crear nuevo documento." ma:contentTypeScope="" ma:versionID="1344aab9f2cb8cf0d872c0422be05907">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5B29F6-DBC4-4F8C-83DA-7E1B7FE77677}">
  <ds:schemaRefs>
    <ds:schemaRef ds:uri="http://schemas.openxmlformats.org/officeDocument/2006/bibliography"/>
  </ds:schemaRefs>
</ds:datastoreItem>
</file>

<file path=customXml/itemProps2.xml><?xml version="1.0" encoding="utf-8"?>
<ds:datastoreItem xmlns:ds="http://schemas.openxmlformats.org/officeDocument/2006/customXml" ds:itemID="{C38EEC6F-BF98-4496-BE08-E8484EA4598C}"/>
</file>

<file path=customXml/itemProps3.xml><?xml version="1.0" encoding="utf-8"?>
<ds:datastoreItem xmlns:ds="http://schemas.openxmlformats.org/officeDocument/2006/customXml" ds:itemID="{242130C0-0A04-40CC-8DAD-2EF1007D3B5F}"/>
</file>

<file path=customXml/itemProps4.xml><?xml version="1.0" encoding="utf-8"?>
<ds:datastoreItem xmlns:ds="http://schemas.openxmlformats.org/officeDocument/2006/customXml" ds:itemID="{206B2E98-328E-4E1A-86F6-D1FCDB7C00D6}"/>
</file>

<file path=docProps/app.xml><?xml version="1.0" encoding="utf-8"?>
<Properties xmlns="http://schemas.openxmlformats.org/officeDocument/2006/extended-properties" xmlns:vt="http://schemas.openxmlformats.org/officeDocument/2006/docPropsVTypes">
  <Template>Normal.dotm</Template>
  <TotalTime>11</TotalTime>
  <Pages>2</Pages>
  <Words>952</Words>
  <Characters>5433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Gimenez Tomas</dc:creator>
  <cp:keywords/>
  <dc:description/>
  <cp:lastModifiedBy>Cristina Gimenez Tomas</cp:lastModifiedBy>
  <cp:revision>3</cp:revision>
  <cp:lastPrinted>2021-12-10T15:01:00Z</cp:lastPrinted>
  <dcterms:created xsi:type="dcterms:W3CDTF">2022-01-02T10:35:00Z</dcterms:created>
  <dcterms:modified xsi:type="dcterms:W3CDTF">2022-01-02T10:46:00Z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0x01010043729EC0A78108499783CFF5AE2EA4DB</vt:lpwstr>
  </property>
</Properties>
</file>